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11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1.文言文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1.阅读，素材积累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校本4.1（1）1～12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校本4.1（1）13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订正试卷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  <w:r>
              <w:t>整理错题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订正期中试卷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整理错题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订正期中试卷卷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错题整理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无（期中考试）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无（期中考试）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订正期中试卷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课外小调查：了解与我生活紧密关联的企业的所有制性质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复习订正期中试卷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常规文言文训练一则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背诵及相关练习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校本作业1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—1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校本作业1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Unit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练习 朗读readingA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听力拓展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授受动词语法练习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预习第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练习部分1-5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练习部分6-8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错题订正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焓变计算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练习部分5.1第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课时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背诵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.2练习部分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复习纲要下第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单元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复习选必一9课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天气系统作业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订正周末作业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t>研讨古代诗歌专题材料；完成诗歌阅读训练一则。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t>必修上教材复习卷一份；默写训练一则。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等差数列及其前n项和作业1-11、周末卷订正</w:t>
            </w:r>
          </w:p>
        </w:tc>
        <w:tc>
          <w:tcPr>
            <w:tcW w:w="384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等差数列及其前n项和作业12、周末卷订正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词汇练习、语法练习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阅读理解、翻译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练习册阶段练习一订正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预习第四课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自主基础知识默写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问答题答题方法训练76套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校本P72-74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校本P75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课后作业17(1-14）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课后作业17(15-16）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研讨古代诗歌专题材料；完成诗歌阅读训练一则。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必修上教材复习卷一份；默写训练一则。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62484A1B"/>
    <w:rsid w:val="0E997A67"/>
    <w:rsid w:val="13500389"/>
    <w:rsid w:val="32672F3B"/>
    <w:rsid w:val="32C71C2C"/>
    <w:rsid w:val="401B2F33"/>
    <w:rsid w:val="4FA552F3"/>
    <w:rsid w:val="51694E42"/>
    <w:rsid w:val="62484A1B"/>
    <w:rsid w:val="6ED2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618</Characters>
  <Lines>0</Lines>
  <Paragraphs>0</Paragraphs>
  <TotalTime>0</TotalTime>
  <ScaleCrop>false</ScaleCrop>
  <LinksUpToDate>false</LinksUpToDate>
  <CharactersWithSpaces>621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2022-11-07T09:20:00Z</dcterms:created>
  <dc:creator>倪倪倪倪倪酱</dc:creator>
  <cp:lastModifiedBy>倪倪倪倪倪酱</cp:lastModifiedBy>
  <dcterms:modified xsi:type="dcterms:W3CDTF">2022-11-20T06:14:10Z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8757D0A995D1479C83766ED0A61C8197</vt:lpwstr>
  </property>
</Properties>
</file>